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B1" w:rsidRDefault="003C4EB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4EB1" w:rsidRDefault="003C4E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4E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4EB1" w:rsidRDefault="003C4EB1">
            <w:pPr>
              <w:pStyle w:val="ConsPlusNormal"/>
              <w:outlineLvl w:val="0"/>
            </w:pPr>
            <w:r>
              <w:t>4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4EB1" w:rsidRDefault="003C4EB1">
            <w:pPr>
              <w:pStyle w:val="ConsPlusNormal"/>
              <w:jc w:val="right"/>
              <w:outlineLvl w:val="0"/>
            </w:pPr>
            <w:r>
              <w:t>N 68</w:t>
            </w:r>
          </w:p>
        </w:tc>
      </w:tr>
    </w:tbl>
    <w:p w:rsidR="003C4EB1" w:rsidRDefault="003C4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EB1" w:rsidRDefault="003C4EB1">
      <w:pPr>
        <w:pStyle w:val="ConsPlusNormal"/>
        <w:jc w:val="both"/>
      </w:pPr>
    </w:p>
    <w:p w:rsidR="003C4EB1" w:rsidRDefault="003C4EB1">
      <w:pPr>
        <w:pStyle w:val="ConsPlusTitle"/>
        <w:jc w:val="center"/>
      </w:pPr>
      <w:bookmarkStart w:id="0" w:name="_GoBack"/>
      <w:r>
        <w:t>УКАЗ</w:t>
      </w:r>
    </w:p>
    <w:p w:rsidR="003C4EB1" w:rsidRDefault="003C4EB1">
      <w:pPr>
        <w:pStyle w:val="ConsPlusTitle"/>
        <w:jc w:val="center"/>
      </w:pPr>
    </w:p>
    <w:p w:rsidR="003C4EB1" w:rsidRDefault="003C4EB1">
      <w:pPr>
        <w:pStyle w:val="ConsPlusTitle"/>
        <w:jc w:val="center"/>
      </w:pPr>
      <w:r>
        <w:t>ПРЕЗИДЕНТА РОССИЙСКОЙ ФЕДЕРАЦИИ</w:t>
      </w:r>
    </w:p>
    <w:p w:rsidR="003C4EB1" w:rsidRDefault="003C4EB1">
      <w:pPr>
        <w:pStyle w:val="ConsPlusTitle"/>
        <w:jc w:val="center"/>
      </w:pPr>
    </w:p>
    <w:p w:rsidR="003C4EB1" w:rsidRDefault="003C4EB1">
      <w:pPr>
        <w:pStyle w:val="ConsPlusTitle"/>
        <w:jc w:val="center"/>
      </w:pPr>
      <w:r>
        <w:t>ОБ ОЦЕНКЕ</w:t>
      </w:r>
    </w:p>
    <w:p w:rsidR="003C4EB1" w:rsidRDefault="003C4EB1">
      <w:pPr>
        <w:pStyle w:val="ConsPlusTitle"/>
        <w:jc w:val="center"/>
      </w:pPr>
      <w:r>
        <w:t xml:space="preserve">ЭФФЕКТИВНОСТИ ДЕЯТЕЛЬНОСТИ </w:t>
      </w:r>
      <w:proofErr w:type="gramStart"/>
      <w:r>
        <w:t>ВЫСШИХ</w:t>
      </w:r>
      <w:proofErr w:type="gramEnd"/>
      <w:r>
        <w:t xml:space="preserve"> ДОЛЖНОСТНЫХ</w:t>
      </w:r>
    </w:p>
    <w:p w:rsidR="003C4EB1" w:rsidRDefault="003C4EB1">
      <w:pPr>
        <w:pStyle w:val="ConsPlusTitle"/>
        <w:jc w:val="center"/>
      </w:pPr>
      <w:proofErr w:type="gramStart"/>
      <w:r>
        <w:t>ЛИЦ (РУКОВОДИТЕЛЕЙ ВЫСШИХ ИСПОЛНИТЕЛЬНЫХ ОРГАНОВ</w:t>
      </w:r>
      <w:proofErr w:type="gramEnd"/>
    </w:p>
    <w:p w:rsidR="003C4EB1" w:rsidRDefault="003C4EB1">
      <w:pPr>
        <w:pStyle w:val="ConsPlusTitle"/>
        <w:jc w:val="center"/>
      </w:pPr>
      <w:proofErr w:type="gramStart"/>
      <w:r>
        <w:t>ГОСУДАРСТВЕННОЙ ВЛАСТИ) СУБЪЕКТОВ РОССИЙСКОЙ ФЕДЕРАЦИИ</w:t>
      </w:r>
      <w:proofErr w:type="gramEnd"/>
    </w:p>
    <w:p w:rsidR="003C4EB1" w:rsidRDefault="003C4EB1">
      <w:pPr>
        <w:pStyle w:val="ConsPlusTitle"/>
        <w:jc w:val="center"/>
      </w:pPr>
      <w:r>
        <w:t>И ДЕЯТЕЛЬНОСТИ ОРГАНОВ ИСПОЛНИТЕЛЬНОЙ ВЛАСТИ</w:t>
      </w:r>
    </w:p>
    <w:p w:rsidR="003C4EB1" w:rsidRDefault="003C4EB1">
      <w:pPr>
        <w:pStyle w:val="ConsPlusTitle"/>
        <w:jc w:val="center"/>
      </w:pPr>
      <w:r>
        <w:t>СУБЪЕКТОВ РОССИЙСКОЙ ФЕДЕРАЦИИ</w:t>
      </w:r>
    </w:p>
    <w:bookmarkEnd w:id="0"/>
    <w:p w:rsidR="003C4EB1" w:rsidRDefault="003C4EB1">
      <w:pPr>
        <w:pStyle w:val="ConsPlusNormal"/>
        <w:jc w:val="both"/>
      </w:pPr>
    </w:p>
    <w:p w:rsidR="003C4EB1" w:rsidRDefault="003C4EB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постановляю: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(далее - перечень).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2. Администрации Президента Российской Федерации: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 xml:space="preserve">а) разработать и в месячный срок представить на утверждение Президента Российской Федерации методику расчета показателя, предусмотренного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перечня;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 xml:space="preserve">б) ежегодно, до 1 марта, представлять Президенту Российской Федерации доклад о значениях показателя, предусмотренного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перечня, за отчетный период.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3. Правительству Российской Федерации совместно с комиссиями Государственного Совета Российской Федерации по соответствующим направлениям: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 xml:space="preserve">а) в 2-месячный срок обеспечить утверждение или корректировку методик расчета показателей, предусмотренных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6" w:history="1">
        <w:r>
          <w:rPr>
            <w:color w:val="0000FF"/>
          </w:rPr>
          <w:t>20</w:t>
        </w:r>
      </w:hyperlink>
      <w:r>
        <w:t xml:space="preserve"> перечня, на период до 2030 года включительно, в том числе на отчетный период (текущий год) и плановый период, составляющий два года, следующие за отчетным периодом;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 xml:space="preserve">б) до 1 июля 2022 г. утвердить правила распределения между субъектами Российской Федерации грантов в форме межбюджетных трансфертов на основе достигнутых ими за отчетный период (прошедший год) фактических значений (уровней) показателей, предусмотренных </w:t>
      </w:r>
      <w:hyperlink w:anchor="P50" w:history="1">
        <w:r>
          <w:rPr>
            <w:color w:val="0000FF"/>
          </w:rPr>
          <w:t>перечнем</w:t>
        </w:r>
      </w:hyperlink>
      <w:r>
        <w:t>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4. Правительству Российской Федерации совместно с Администрацией Президента Российской Федерации представить до 1 июля 2021 г. Президенту Российской Федерации предложения: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 xml:space="preserve">а) по рассмотрению с участием комиссий Государственного Совета Российской Федерации вопросов, связанных с обоснованием и при необходимости защитой планируемых на отчетный период (текущий год) и плановый период значений (уровней) показателей, предусмотренных </w:t>
      </w:r>
      <w:hyperlink w:anchor="P50" w:history="1">
        <w:r>
          <w:rPr>
            <w:color w:val="0000FF"/>
          </w:rPr>
          <w:t>перечнем</w:t>
        </w:r>
      </w:hyperlink>
      <w:r>
        <w:t>, и достигнутых субъектами Российской Федерации за отчетный период (прошедший год) фактических значений (уровней) таких показателей;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lastRenderedPageBreak/>
        <w:t>б) по разработке правил распределения в 2021 году между субъектами Российской Федерации грантов в форме межбюджетных трансфертов на основе достигнутых в 2020 году результатов.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5. Правительству Российской Федерации подготавливать при участии комиссий Государственного Совета Российской Федерации по соответствующим направлениям и представлять Президенту Российской Федерации:</w:t>
      </w:r>
    </w:p>
    <w:p w:rsidR="003C4EB1" w:rsidRDefault="003C4EB1">
      <w:pPr>
        <w:pStyle w:val="ConsPlusNormal"/>
        <w:spacing w:before="220"/>
        <w:ind w:firstLine="540"/>
        <w:jc w:val="both"/>
      </w:pPr>
      <w:proofErr w:type="gramStart"/>
      <w:r>
        <w:t xml:space="preserve">а) доклад о планируемых значениях (уровнях) показателей, предусмотренных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6" w:history="1">
        <w:r>
          <w:rPr>
            <w:color w:val="0000FF"/>
          </w:rPr>
          <w:t>20</w:t>
        </w:r>
      </w:hyperlink>
      <w:r>
        <w:t xml:space="preserve"> перечня, на отчетный период (текущий год) и плановый период - до 1 июля 2021 г., далее - ежегодно, до 1 мая;</w:t>
      </w:r>
      <w:proofErr w:type="gramEnd"/>
    </w:p>
    <w:p w:rsidR="003C4EB1" w:rsidRDefault="003C4EB1">
      <w:pPr>
        <w:pStyle w:val="ConsPlusNormal"/>
        <w:spacing w:before="220"/>
        <w:ind w:firstLine="540"/>
        <w:jc w:val="both"/>
      </w:pPr>
      <w:r>
        <w:t xml:space="preserve">б) доклад о достигнутых субъектами Российской Федерации за отчетный период (прошедший год) фактических значениях (уровнях) показателей, предусмотренных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6" w:history="1">
        <w:r>
          <w:rPr>
            <w:color w:val="0000FF"/>
          </w:rPr>
          <w:t>20</w:t>
        </w:r>
      </w:hyperlink>
      <w:r>
        <w:t xml:space="preserve"> перечня, - ежегодно, до 1 июня;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 xml:space="preserve">в) предложения по распределению между субъектами Российской Федерации грантов на основе достигнутых за отчетный период (прошедший год) фактических значений (уровней) показателей, предусмотренных </w:t>
      </w:r>
      <w:hyperlink w:anchor="P50" w:history="1">
        <w:r>
          <w:rPr>
            <w:color w:val="0000FF"/>
          </w:rPr>
          <w:t>перечнем</w:t>
        </w:r>
      </w:hyperlink>
      <w:r>
        <w:t>, - ежегодно, до 1 июля.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6. Правительству Российской Федерации в 3-месячный срок привести свои акты в соответствие с настоящим Указом.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апреля 2019 г.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(Собрание законодательства Российской Федерации, 2019, N 17, ст. 2078).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3C4EB1" w:rsidRDefault="003C4EB1">
      <w:pPr>
        <w:pStyle w:val="ConsPlusNormal"/>
        <w:jc w:val="both"/>
      </w:pPr>
    </w:p>
    <w:p w:rsidR="003C4EB1" w:rsidRDefault="003C4EB1">
      <w:pPr>
        <w:pStyle w:val="ConsPlusNormal"/>
        <w:jc w:val="right"/>
      </w:pPr>
      <w:r>
        <w:t>Президент</w:t>
      </w:r>
    </w:p>
    <w:p w:rsidR="003C4EB1" w:rsidRDefault="003C4EB1">
      <w:pPr>
        <w:pStyle w:val="ConsPlusNormal"/>
        <w:jc w:val="right"/>
      </w:pPr>
      <w:r>
        <w:t>Российской Федерации</w:t>
      </w:r>
    </w:p>
    <w:p w:rsidR="003C4EB1" w:rsidRDefault="003C4EB1">
      <w:pPr>
        <w:pStyle w:val="ConsPlusNormal"/>
        <w:jc w:val="right"/>
      </w:pPr>
      <w:r>
        <w:t>В.ПУТИН</w:t>
      </w:r>
    </w:p>
    <w:p w:rsidR="003C4EB1" w:rsidRDefault="003C4EB1">
      <w:pPr>
        <w:pStyle w:val="ConsPlusNormal"/>
      </w:pPr>
      <w:r>
        <w:t>Москва, Кремль</w:t>
      </w:r>
    </w:p>
    <w:p w:rsidR="003C4EB1" w:rsidRDefault="003C4EB1">
      <w:pPr>
        <w:pStyle w:val="ConsPlusNormal"/>
        <w:spacing w:before="220"/>
      </w:pPr>
      <w:r>
        <w:t>4 февраля 2021 года</w:t>
      </w:r>
    </w:p>
    <w:p w:rsidR="003C4EB1" w:rsidRDefault="003C4EB1">
      <w:pPr>
        <w:pStyle w:val="ConsPlusNormal"/>
        <w:spacing w:before="220"/>
      </w:pPr>
      <w:r>
        <w:t>N 68</w:t>
      </w:r>
    </w:p>
    <w:p w:rsidR="003C4EB1" w:rsidRDefault="003C4EB1">
      <w:pPr>
        <w:pStyle w:val="ConsPlusNormal"/>
        <w:jc w:val="both"/>
      </w:pPr>
    </w:p>
    <w:p w:rsidR="003C4EB1" w:rsidRDefault="003C4EB1">
      <w:pPr>
        <w:pStyle w:val="ConsPlusNormal"/>
        <w:jc w:val="both"/>
      </w:pPr>
    </w:p>
    <w:p w:rsidR="003C4EB1" w:rsidRDefault="003C4EB1">
      <w:pPr>
        <w:pStyle w:val="ConsPlusNormal"/>
        <w:jc w:val="both"/>
      </w:pPr>
    </w:p>
    <w:p w:rsidR="003C4EB1" w:rsidRDefault="003C4EB1">
      <w:pPr>
        <w:pStyle w:val="ConsPlusNormal"/>
        <w:jc w:val="both"/>
      </w:pPr>
    </w:p>
    <w:p w:rsidR="003C4EB1" w:rsidRDefault="003C4EB1">
      <w:pPr>
        <w:pStyle w:val="ConsPlusNormal"/>
        <w:jc w:val="both"/>
      </w:pPr>
    </w:p>
    <w:p w:rsidR="003C4EB1" w:rsidRDefault="003C4EB1">
      <w:pPr>
        <w:pStyle w:val="ConsPlusNormal"/>
        <w:jc w:val="right"/>
        <w:outlineLvl w:val="0"/>
      </w:pPr>
      <w:r>
        <w:t>Утвержден</w:t>
      </w:r>
    </w:p>
    <w:p w:rsidR="003C4EB1" w:rsidRDefault="003C4EB1">
      <w:pPr>
        <w:pStyle w:val="ConsPlusNormal"/>
        <w:jc w:val="right"/>
      </w:pPr>
      <w:r>
        <w:t>Указом Президента</w:t>
      </w:r>
    </w:p>
    <w:p w:rsidR="003C4EB1" w:rsidRDefault="003C4EB1">
      <w:pPr>
        <w:pStyle w:val="ConsPlusNormal"/>
        <w:jc w:val="right"/>
      </w:pPr>
      <w:r>
        <w:t>Российской Федерации</w:t>
      </w:r>
    </w:p>
    <w:p w:rsidR="003C4EB1" w:rsidRDefault="003C4EB1">
      <w:pPr>
        <w:pStyle w:val="ConsPlusNormal"/>
        <w:jc w:val="right"/>
      </w:pPr>
      <w:r>
        <w:t>от 4 февраля 2021 г. N 68</w:t>
      </w:r>
    </w:p>
    <w:p w:rsidR="003C4EB1" w:rsidRDefault="003C4EB1">
      <w:pPr>
        <w:pStyle w:val="ConsPlusNormal"/>
        <w:jc w:val="both"/>
      </w:pPr>
    </w:p>
    <w:p w:rsidR="003C4EB1" w:rsidRDefault="003C4EB1">
      <w:pPr>
        <w:pStyle w:val="ConsPlusTitle"/>
        <w:jc w:val="center"/>
      </w:pPr>
      <w:bookmarkStart w:id="1" w:name="P50"/>
      <w:bookmarkEnd w:id="1"/>
      <w:r>
        <w:t>ПЕРЕЧЕНЬ</w:t>
      </w:r>
    </w:p>
    <w:p w:rsidR="003C4EB1" w:rsidRDefault="003C4EB1">
      <w:pPr>
        <w:pStyle w:val="ConsPlusTitle"/>
        <w:jc w:val="center"/>
      </w:pPr>
      <w:r>
        <w:t>ПОКАЗАТЕЛЕЙ ДЛЯ ОЦЕНКИ ЭФФЕКТИВНОСТИ ДЕЯТЕЛЬНОСТИ ВЫСШИХ</w:t>
      </w:r>
    </w:p>
    <w:p w:rsidR="003C4EB1" w:rsidRDefault="003C4EB1">
      <w:pPr>
        <w:pStyle w:val="ConsPlusTitle"/>
        <w:jc w:val="center"/>
      </w:pPr>
      <w:proofErr w:type="gramStart"/>
      <w:r>
        <w:t>ДОЛЖНОСТНЫХ ЛИЦ (РУКОВОДИТЕЛЕЙ ВЫСШИХ ИСПОЛНИТЕЛЬНЫХ</w:t>
      </w:r>
      <w:proofErr w:type="gramEnd"/>
    </w:p>
    <w:p w:rsidR="003C4EB1" w:rsidRDefault="003C4EB1">
      <w:pPr>
        <w:pStyle w:val="ConsPlusTitle"/>
        <w:jc w:val="center"/>
      </w:pPr>
      <w:proofErr w:type="gramStart"/>
      <w:r>
        <w:t>ОРГАНОВ ГОСУДАРСТВЕННОЙ ВЛАСТИ) СУБЪЕКТОВ РОССИЙСКОЙ</w:t>
      </w:r>
      <w:proofErr w:type="gramEnd"/>
    </w:p>
    <w:p w:rsidR="003C4EB1" w:rsidRDefault="003C4EB1">
      <w:pPr>
        <w:pStyle w:val="ConsPlusTitle"/>
        <w:jc w:val="center"/>
      </w:pPr>
      <w:r>
        <w:t>ФЕДЕРАЦИИ И ДЕЯТЕЛЬНОСТИ ОРГАНОВ ИСПОЛНИТЕЛЬНОЙ</w:t>
      </w:r>
    </w:p>
    <w:p w:rsidR="003C4EB1" w:rsidRDefault="003C4EB1">
      <w:pPr>
        <w:pStyle w:val="ConsPlusTitle"/>
        <w:jc w:val="center"/>
      </w:pPr>
      <w:r>
        <w:t>ВЛАСТИ СУБЪЕКТОВ РОССИЙСКОЙ ФЕДЕРАЦИИ</w:t>
      </w:r>
    </w:p>
    <w:p w:rsidR="003C4EB1" w:rsidRDefault="003C4EB1">
      <w:pPr>
        <w:pStyle w:val="ConsPlusNormal"/>
        <w:jc w:val="both"/>
      </w:pPr>
    </w:p>
    <w:p w:rsidR="003C4EB1" w:rsidRDefault="003C4EB1">
      <w:pPr>
        <w:pStyle w:val="ConsPlusNormal"/>
        <w:ind w:firstLine="540"/>
        <w:jc w:val="both"/>
      </w:pPr>
      <w:bookmarkStart w:id="2" w:name="P57"/>
      <w:bookmarkEnd w:id="2"/>
      <w:r>
        <w:t xml:space="preserve">1. Доверие к власти (доверие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уровень которого </w:t>
      </w:r>
      <w:proofErr w:type="gramStart"/>
      <w:r>
        <w:t>определяется</w:t>
      </w:r>
      <w:proofErr w:type="gramEnd"/>
      <w:r>
        <w:t xml:space="preserve">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Федерации).</w:t>
      </w:r>
    </w:p>
    <w:p w:rsidR="003C4EB1" w:rsidRDefault="003C4EB1">
      <w:pPr>
        <w:pStyle w:val="ConsPlusNormal"/>
        <w:spacing w:before="220"/>
        <w:ind w:firstLine="540"/>
        <w:jc w:val="both"/>
      </w:pPr>
      <w:bookmarkStart w:id="3" w:name="P58"/>
      <w:bookmarkEnd w:id="3"/>
      <w:r>
        <w:t>2. Численность населения субъекта Российской Федерации.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3. Ожидаемая продолжительность жизни при рождении.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4. Уровень бедности.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5. Доля граждан, систематически занимающихся физической культурой и спортом.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6. Уровень образования.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7. Эффективность системы выявления, поддержки и развития способностей и талантов у детей и молодежи.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8. Доля граждан, занимающихся добровольческой (волонтерской) деятельностью.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9. Условия для воспитания гармонично развитой и социально ответственной личности.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10. Число посещений культурных мероприятий.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11. Количество семей, улучшивших жилищные условия.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12. Объем жилищного строительства.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13. Качество городской среды.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14. Доля дорожной сети в крупнейших городских агломерациях, соответствующая нормативам.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15. Качество окружающей среды.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16. Темп роста (индекс роста) реальной среднемесячной заработной платы.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17. Темп роста (индекс роста) реального среднедушевого денежного дохода населения.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>18.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3C4EB1" w:rsidRDefault="003C4EB1">
      <w:pPr>
        <w:pStyle w:val="ConsPlusNormal"/>
        <w:spacing w:before="220"/>
        <w:ind w:firstLine="540"/>
        <w:jc w:val="both"/>
      </w:pPr>
      <w:r>
        <w:t xml:space="preserve">19. Численность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.</w:t>
      </w:r>
    </w:p>
    <w:p w:rsidR="003C4EB1" w:rsidRDefault="003C4EB1">
      <w:pPr>
        <w:pStyle w:val="ConsPlusNormal"/>
        <w:spacing w:before="220"/>
        <w:ind w:firstLine="540"/>
        <w:jc w:val="both"/>
      </w:pPr>
      <w:bookmarkStart w:id="4" w:name="P76"/>
      <w:bookmarkEnd w:id="4"/>
      <w:r>
        <w:t>20. 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решений.</w:t>
      </w:r>
    </w:p>
    <w:p w:rsidR="003C4EB1" w:rsidRDefault="003C4EB1">
      <w:pPr>
        <w:pStyle w:val="ConsPlusNormal"/>
        <w:jc w:val="both"/>
      </w:pPr>
    </w:p>
    <w:p w:rsidR="003C4EB1" w:rsidRDefault="003C4EB1">
      <w:pPr>
        <w:pStyle w:val="ConsPlusNormal"/>
        <w:jc w:val="both"/>
      </w:pPr>
    </w:p>
    <w:p w:rsidR="003C4EB1" w:rsidRDefault="003C4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841" w:rsidRDefault="00CC2841"/>
    <w:sectPr w:rsidR="00CC2841" w:rsidSect="00F9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B1"/>
    <w:rsid w:val="003C4EB1"/>
    <w:rsid w:val="00C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FB51F856ECEFA0A36F64151CF63DE912771C21C35CDCAB6DEAE5313080B07BD71FC613163BEDCF1A96A14353m84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B51F856ECEFA0A36F64151CF63DE91272172DC75BDCAB6DEAE5313080B07BC51F9E1B1433A79E5ADDAE425292E486D038FF5Bm247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Рябченкова Екатерина Сергеевна</dc:creator>
  <cp:lastModifiedBy>Рябченкова Екатерина Сергеевна</cp:lastModifiedBy>
  <cp:revision>1</cp:revision>
  <dcterms:created xsi:type="dcterms:W3CDTF">2021-04-13T08:56:00Z</dcterms:created>
  <dcterms:modified xsi:type="dcterms:W3CDTF">2021-04-13T09:00:00Z</dcterms:modified>
</cp:coreProperties>
</file>